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8BDC" w14:textId="67B4579E" w:rsidR="00AD0E41" w:rsidRPr="00E425AA" w:rsidRDefault="0080788C" w:rsidP="00D4718D">
      <w:pPr>
        <w:rPr>
          <w:rFonts w:ascii="Times New Roman" w:hAnsi="Times New Roman" w:cs="Times New Roman"/>
          <w:b/>
          <w:sz w:val="24"/>
          <w:szCs w:val="24"/>
        </w:rPr>
      </w:pPr>
      <w:r w:rsidRPr="00E425AA">
        <w:rPr>
          <w:rFonts w:ascii="Times New Roman" w:hAnsi="Times New Roman" w:cs="Times New Roman"/>
          <w:b/>
          <w:sz w:val="24"/>
          <w:szCs w:val="24"/>
        </w:rPr>
        <w:t>Lisa 2 Hindamiskriteeriumid</w:t>
      </w:r>
    </w:p>
    <w:p w14:paraId="6CFD2D18" w14:textId="77777777" w:rsidR="0080788C" w:rsidRDefault="0080788C" w:rsidP="00D471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64"/>
        <w:tblW w:w="9372" w:type="dxa"/>
        <w:tblLook w:val="04A0" w:firstRow="1" w:lastRow="0" w:firstColumn="1" w:lastColumn="0" w:noHBand="0" w:noVBand="1"/>
      </w:tblPr>
      <w:tblGrid>
        <w:gridCol w:w="999"/>
        <w:gridCol w:w="6231"/>
        <w:gridCol w:w="2142"/>
      </w:tblGrid>
      <w:tr w:rsidR="0076443F" w:rsidRPr="009B2C88" w14:paraId="7111C6A1" w14:textId="77777777" w:rsidTr="00936378">
        <w:trPr>
          <w:trHeight w:val="841"/>
        </w:trPr>
        <w:tc>
          <w:tcPr>
            <w:tcW w:w="7230" w:type="dxa"/>
            <w:gridSpan w:val="2"/>
            <w:shd w:val="clear" w:color="auto" w:fill="C6D9F1"/>
            <w:vAlign w:val="center"/>
          </w:tcPr>
          <w:p w14:paraId="47B7D812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>Hindamiskriteeriumi nimetus</w:t>
            </w:r>
          </w:p>
        </w:tc>
        <w:tc>
          <w:tcPr>
            <w:tcW w:w="2142" w:type="dxa"/>
            <w:shd w:val="clear" w:color="auto" w:fill="C6D9F1"/>
            <w:vAlign w:val="center"/>
          </w:tcPr>
          <w:p w14:paraId="72E9092C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>Väärtuspunktide arv</w:t>
            </w:r>
          </w:p>
        </w:tc>
      </w:tr>
      <w:tr w:rsidR="0076443F" w:rsidRPr="009B2C88" w14:paraId="3E914877" w14:textId="77777777" w:rsidTr="00936378">
        <w:tc>
          <w:tcPr>
            <w:tcW w:w="999" w:type="dxa"/>
            <w:vAlign w:val="center"/>
          </w:tcPr>
          <w:p w14:paraId="51FE132F" w14:textId="77777777" w:rsidR="0076443F" w:rsidRPr="009B2C88" w:rsidRDefault="0076443F" w:rsidP="00936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B32E64A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Tellitava teenuse ideelahendus ehk p</w:t>
            </w: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>akkumuse sisu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 mida</w:t>
            </w: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hinnatakse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hankija tehnilise kirjelduse punktis 4.1 nõutud</w:t>
            </w: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tööde alusel. </w:t>
            </w:r>
            <w:r w:rsidRPr="009B2C88">
              <w:rPr>
                <w:rFonts w:ascii="Times New Roman" w:eastAsia="Times New Roman" w:hAnsi="Times New Roman"/>
                <w:sz w:val="24"/>
                <w:szCs w:val="24"/>
              </w:rPr>
              <w:t xml:space="preserve">Pakkumuse sisu all hinnatakse järgnevat: </w:t>
            </w:r>
          </w:p>
          <w:p w14:paraId="0AB97429" w14:textId="18954B91" w:rsidR="0076443F" w:rsidRPr="009B2C88" w:rsidRDefault="006A501A" w:rsidP="0076443F">
            <w:pPr>
              <w:numPr>
                <w:ilvl w:val="0"/>
                <w:numId w:val="1"/>
              </w:numPr>
              <w:tabs>
                <w:tab w:val="left" w:pos="0"/>
                <w:tab w:val="left" w:pos="5446"/>
              </w:tabs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Kontseptsiooni mõjukus ja </w:t>
            </w:r>
            <w:proofErr w:type="spellStart"/>
            <w:r w:rsidR="0076443F" w:rsidRPr="009B2C88">
              <w:rPr>
                <w:rFonts w:ascii="Times New Roman" w:hAnsi="Times New Roman"/>
                <w:sz w:val="24"/>
                <w:szCs w:val="24"/>
              </w:rPr>
              <w:t>visuaal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vastavus kampaania sõnumile</w:t>
            </w:r>
            <w:r w:rsidR="0076443F" w:rsidRPr="009B2C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E216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6443F" w:rsidRPr="009B2C88">
              <w:rPr>
                <w:rFonts w:ascii="Times New Roman" w:hAnsi="Times New Roman"/>
                <w:sz w:val="24"/>
                <w:szCs w:val="24"/>
              </w:rPr>
              <w:t xml:space="preserve"> punkti);</w:t>
            </w:r>
          </w:p>
          <w:p w14:paraId="444010A0" w14:textId="71858A12" w:rsidR="006A501A" w:rsidRPr="006A501A" w:rsidRDefault="006A501A" w:rsidP="006A501A">
            <w:pPr>
              <w:numPr>
                <w:ilvl w:val="0"/>
                <w:numId w:val="1"/>
              </w:numPr>
              <w:tabs>
                <w:tab w:val="left" w:pos="0"/>
                <w:tab w:val="left" w:pos="5446"/>
              </w:tabs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Portfoolio (10 punkti)</w:t>
            </w:r>
          </w:p>
        </w:tc>
        <w:tc>
          <w:tcPr>
            <w:tcW w:w="2142" w:type="dxa"/>
          </w:tcPr>
          <w:p w14:paraId="68CA93B4" w14:textId="0F906B0C" w:rsidR="0076443F" w:rsidRPr="009B2C88" w:rsidRDefault="00BE216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6443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6443F" w:rsidRPr="009B2C88" w14:paraId="655F455A" w14:textId="77777777" w:rsidTr="00936378">
        <w:tc>
          <w:tcPr>
            <w:tcW w:w="999" w:type="dxa"/>
            <w:vAlign w:val="center"/>
          </w:tcPr>
          <w:p w14:paraId="6695E288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F206B6D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Pakkumuse </w:t>
            </w:r>
            <w:r w:rsidR="009E60CE">
              <w:rPr>
                <w:rFonts w:ascii="Times New Roman" w:eastAsia="Times New Roman" w:hAnsi="Times New Roman"/>
                <w:b/>
                <w:sz w:val="24"/>
                <w:szCs w:val="24"/>
              </w:rPr>
              <w:t>kogu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maksumus, mille osas hinnatakse järgmist</w:t>
            </w:r>
            <w:r w:rsidRPr="009B2C88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9C5FD47" w14:textId="2EBB6BE5" w:rsidR="0076443F" w:rsidRPr="009B2C88" w:rsidRDefault="0076443F" w:rsidP="0076443F">
            <w:pPr>
              <w:numPr>
                <w:ilvl w:val="0"/>
                <w:numId w:val="2"/>
              </w:numPr>
              <w:tabs>
                <w:tab w:val="left" w:pos="0"/>
                <w:tab w:val="left" w:pos="544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Kogu kampaania maksumust (</w:t>
            </w:r>
            <w:r w:rsidR="00BE21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 xml:space="preserve"> punkti)</w:t>
            </w:r>
          </w:p>
        </w:tc>
        <w:tc>
          <w:tcPr>
            <w:tcW w:w="2142" w:type="dxa"/>
          </w:tcPr>
          <w:p w14:paraId="7B926DF9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91D9DA" w14:textId="43F5BAAC" w:rsidR="0076443F" w:rsidRPr="009B2C88" w:rsidRDefault="00BE216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6443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6443F" w:rsidRPr="009B2C88" w14:paraId="62858DD0" w14:textId="77777777" w:rsidTr="00936378">
        <w:tc>
          <w:tcPr>
            <w:tcW w:w="7230" w:type="dxa"/>
            <w:gridSpan w:val="2"/>
            <w:vAlign w:val="center"/>
          </w:tcPr>
          <w:p w14:paraId="12F480A3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2142" w:type="dxa"/>
          </w:tcPr>
          <w:p w14:paraId="48F7B91E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389E3D34" w14:textId="77777777" w:rsidR="0080788C" w:rsidRDefault="0080788C" w:rsidP="00D4718D">
      <w:pPr>
        <w:rPr>
          <w:rFonts w:ascii="Times New Roman" w:hAnsi="Times New Roman" w:cs="Times New Roman"/>
          <w:sz w:val="24"/>
          <w:szCs w:val="24"/>
        </w:rPr>
      </w:pPr>
    </w:p>
    <w:p w14:paraId="299EC929" w14:textId="77777777" w:rsidR="0076443F" w:rsidRPr="009B2C88" w:rsidRDefault="0076443F" w:rsidP="0076443F">
      <w:pPr>
        <w:tabs>
          <w:tab w:val="left" w:pos="0"/>
          <w:tab w:val="left" w:pos="5446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C88">
        <w:rPr>
          <w:rFonts w:ascii="Times New Roman" w:eastAsia="Times New Roman" w:hAnsi="Times New Roman" w:cs="Times New Roman"/>
          <w:color w:val="000000"/>
          <w:sz w:val="24"/>
          <w:szCs w:val="24"/>
        </w:rPr>
        <w:t>Hindamiskriteeriumite sisukirjeldused ja väärtuspunktide arv:</w:t>
      </w:r>
    </w:p>
    <w:p w14:paraId="4B97F87E" w14:textId="77777777" w:rsidR="0076443F" w:rsidRPr="009B2C88" w:rsidRDefault="0076443F" w:rsidP="0076443F">
      <w:pPr>
        <w:tabs>
          <w:tab w:val="left" w:pos="0"/>
          <w:tab w:val="left" w:pos="544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96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2268"/>
        <w:gridCol w:w="2300"/>
      </w:tblGrid>
      <w:tr w:rsidR="0076443F" w:rsidRPr="009B2C88" w14:paraId="084D2FDC" w14:textId="77777777" w:rsidTr="00936378">
        <w:trPr>
          <w:trHeight w:val="28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024E85F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Alakriteerium</w:t>
            </w:r>
          </w:p>
        </w:tc>
        <w:tc>
          <w:tcPr>
            <w:tcW w:w="697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2F33BE2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Sisukirjeldused ja väärtuspunktide arv</w:t>
            </w:r>
          </w:p>
        </w:tc>
      </w:tr>
      <w:tr w:rsidR="0076443F" w:rsidRPr="009B2C88" w14:paraId="05B917FD" w14:textId="77777777" w:rsidTr="00936378">
        <w:trPr>
          <w:trHeight w:val="26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bottom"/>
          </w:tcPr>
          <w:p w14:paraId="1431CDD6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B24616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Vastab täielikult hankija ootustele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378E70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Vastab osaliselt hankija ootustele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02D5C" w14:textId="77777777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Vastab vähesel määral hankija ootustele</w:t>
            </w:r>
          </w:p>
        </w:tc>
      </w:tr>
      <w:tr w:rsidR="0076443F" w:rsidRPr="009B2C88" w14:paraId="270D16D9" w14:textId="77777777" w:rsidTr="00936378">
        <w:trPr>
          <w:trHeight w:val="26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8D9F83D" w14:textId="092D9DAF" w:rsidR="0076443F" w:rsidRPr="002E237E" w:rsidRDefault="006A501A" w:rsidP="00936378">
            <w:pPr>
              <w:tabs>
                <w:tab w:val="left" w:pos="0"/>
                <w:tab w:val="left" w:pos="5446"/>
              </w:tabs>
              <w:spacing w:line="0" w:lineRule="atLeast"/>
              <w:ind w:right="135"/>
              <w:rPr>
                <w:rFonts w:ascii="Calibri" w:eastAsia="Arial" w:hAnsi="Calibri" w:cs="Times New Roman"/>
                <w:b/>
              </w:rPr>
            </w:pPr>
            <w:r w:rsidRPr="006A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Kontseptsiooni mõjukus ja </w:t>
            </w:r>
            <w:proofErr w:type="spellStart"/>
            <w:r w:rsidRPr="006A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visuaali</w:t>
            </w:r>
            <w:proofErr w:type="spellEnd"/>
            <w:r w:rsidRPr="006A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vastavus kampaania sõnumile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FFE5" w14:textId="5613870B" w:rsidR="0076443F" w:rsidRPr="003969E7" w:rsidRDefault="00BE216F" w:rsidP="003A5E73">
            <w:pPr>
              <w:tabs>
                <w:tab w:val="left" w:pos="0"/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Kontseptsiooni kirjeldusest tuleb selgelt välja, kuidas pakutav lahendus sihtrühmasid võiks kõnetada. Visuaalne näidis annab selge suunise, kuidas see sobitub kokku kampaania põhisõnumiga. Visuaal on pilkupüüdev, nutikas ja meeldejääv. </w:t>
            </w:r>
            <w:proofErr w:type="spellStart"/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>Visuaali</w:t>
            </w:r>
            <w:proofErr w:type="spellEnd"/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loomisel on arvestatud tehnilise kirjelduse punktis toodud nõuetega. Koos sisuliste põhjendustega on välja pakutud olulisi täiendusi ülesande püstituses, mis on hankija hinnangul põhjendatud lisaväärtustega ja võimaldavad soovitatud eesmärke paremini saavutada.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D5D3" w14:textId="60C62DCA" w:rsidR="0076443F" w:rsidRPr="009B2C88" w:rsidRDefault="00BE216F" w:rsidP="00936378">
            <w:pPr>
              <w:tabs>
                <w:tab w:val="left" w:pos="0"/>
                <w:tab w:val="left" w:pos="5446"/>
              </w:tabs>
              <w:spacing w:line="0" w:lineRule="atLeast"/>
              <w:ind w:left="139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Kontseptsiooni kirjelduses tuleb osaliselt välja, kuidas lahendus sihtrühmasid võiks kõnetada. Visuaalne näidis sobitub küll põhisõnumiga kokku, kuid visuaal ei ole pilkupüüdev ja meeldejääv või vastupidi. </w:t>
            </w:r>
            <w:proofErr w:type="spellStart"/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>Visuaali</w:t>
            </w:r>
            <w:proofErr w:type="spellEnd"/>
            <w:r w:rsidRPr="00BE2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loomisel on arvestatud vaid osaliselt tehnilise kirjelduse punktis toodud nõuetega.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63DC9" w14:textId="3E275335" w:rsidR="0076443F" w:rsidRPr="009B2C88" w:rsidRDefault="00BE216F" w:rsidP="00936378">
            <w:pPr>
              <w:tabs>
                <w:tab w:val="left" w:pos="0"/>
                <w:tab w:val="left" w:pos="5446"/>
              </w:tabs>
              <w:spacing w:line="0" w:lineRule="atLeast"/>
              <w:ind w:right="13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E21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Kontseptsiooni kirjeldusest ei tule välja, kuidas lahendus sihtrühmasid kõnetab. Visuaalne näidis ei sobitu kokku kampaania põhisõnumiga. Visuaal ei ole pilkupüüdev, nutikas ega ka meeldejääv. </w:t>
            </w:r>
            <w:proofErr w:type="spellStart"/>
            <w:r w:rsidRPr="00BE216F">
              <w:rPr>
                <w:rFonts w:ascii="Times New Roman" w:eastAsia="Arial" w:hAnsi="Times New Roman" w:cs="Times New Roman"/>
                <w:sz w:val="24"/>
                <w:szCs w:val="24"/>
              </w:rPr>
              <w:t>Visuaali</w:t>
            </w:r>
            <w:proofErr w:type="spellEnd"/>
            <w:r w:rsidRPr="00BE21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loomisel ei ole arvestatud tehnilise kirjelduse punktis toodud nõuetega.</w:t>
            </w:r>
          </w:p>
        </w:tc>
      </w:tr>
      <w:tr w:rsidR="0076443F" w:rsidRPr="009B2C88" w14:paraId="7634524C" w14:textId="77777777" w:rsidTr="00936378">
        <w:trPr>
          <w:trHeight w:val="254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C32399B" w14:textId="481B6915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Max </w:t>
            </w:r>
            <w:r w:rsidR="00BE21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 punkti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6DD8C0AE" w14:textId="0AE6C0D3" w:rsidR="0076443F" w:rsidRPr="00BE216F" w:rsidRDefault="00BE216F" w:rsidP="00BE216F">
            <w:pPr>
              <w:tabs>
                <w:tab w:val="left" w:pos="0"/>
                <w:tab w:val="left" w:pos="5446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30</w:t>
            </w:r>
            <w:r w:rsidR="003A5E73" w:rsidRPr="00BE21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  <w:r w:rsidR="003A5E73" w:rsidRPr="00BE21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 </w:t>
            </w:r>
            <w:r w:rsidR="0076443F" w:rsidRPr="00BE21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F64B717" w14:textId="37BC4E40" w:rsidR="0076443F" w:rsidRPr="003A5E73" w:rsidRDefault="00BE216F" w:rsidP="003A5E73">
            <w:pPr>
              <w:tabs>
                <w:tab w:val="left" w:pos="0"/>
                <w:tab w:val="left" w:pos="5446"/>
              </w:tabs>
              <w:spacing w:line="0" w:lineRule="atLeast"/>
              <w:ind w:left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  <w:r w:rsid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0 </w:t>
            </w:r>
            <w:r w:rsidR="003A5E73"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  <w:r w:rsidR="003A5E73"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 </w:t>
            </w:r>
            <w:r w:rsidR="0076443F"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5D0CC24" w14:textId="3B42EF5D" w:rsidR="0076443F" w:rsidRPr="003A5E73" w:rsidRDefault="00BE216F" w:rsidP="003A5E73">
            <w:pPr>
              <w:tabs>
                <w:tab w:val="left" w:pos="0"/>
                <w:tab w:val="left" w:pos="5446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10</w:t>
            </w:r>
            <w:r w:rsidR="003A5E73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 xml:space="preserve"> – 0 </w:t>
            </w:r>
            <w:r w:rsidR="0076443F" w:rsidRPr="003A5E73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punkti</w:t>
            </w:r>
          </w:p>
        </w:tc>
      </w:tr>
      <w:tr w:rsidR="0076443F" w:rsidRPr="009B2C88" w14:paraId="7D345ECD" w14:textId="77777777" w:rsidTr="00936378">
        <w:trPr>
          <w:trHeight w:val="2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EC2DD09" w14:textId="02DE6571" w:rsidR="0076443F" w:rsidRPr="009B2C88" w:rsidRDefault="003A5E73" w:rsidP="00936378">
            <w:pPr>
              <w:tabs>
                <w:tab w:val="left" w:pos="679"/>
                <w:tab w:val="left" w:pos="5446"/>
              </w:tabs>
              <w:spacing w:line="0" w:lineRule="atLeast"/>
              <w:ind w:left="679" w:right="135" w:hanging="679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Portfoolio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72BF" w14:textId="414E389B" w:rsidR="0076443F" w:rsidRPr="009B2C88" w:rsidRDefault="00AA5171" w:rsidP="00936378">
            <w:pPr>
              <w:tabs>
                <w:tab w:val="left" w:pos="0"/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Pakkuja portfoolio annab tellijale kindluse, et loodav kampaania vastab tellija ootustele.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C003" w14:textId="35009190" w:rsidR="0076443F" w:rsidRPr="009B2C88" w:rsidRDefault="00AA5171" w:rsidP="00936378">
            <w:pPr>
              <w:tabs>
                <w:tab w:val="left" w:pos="0"/>
                <w:tab w:val="left" w:pos="5446"/>
              </w:tabs>
              <w:spacing w:line="0" w:lineRule="atLeast"/>
              <w:ind w:left="139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Pakkuja portfoolio annab tellijale osalise kindluse, et loodav kampaania vastab tellija ootustele.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AEF687" w14:textId="194A4788" w:rsidR="0076443F" w:rsidRPr="009B2C88" w:rsidRDefault="00AA5171" w:rsidP="00936378">
            <w:pPr>
              <w:tabs>
                <w:tab w:val="left" w:pos="0"/>
                <w:tab w:val="left" w:pos="5446"/>
              </w:tabs>
              <w:spacing w:line="0" w:lineRule="atLeast"/>
              <w:ind w:left="137" w:right="15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Pakkuja portfoolio ei loo tellijale kindlust, et loodav kampaania vastab tellija ootustele.</w:t>
            </w:r>
          </w:p>
        </w:tc>
      </w:tr>
      <w:tr w:rsidR="0076443F" w:rsidRPr="009B2C88" w14:paraId="32ED888C" w14:textId="77777777" w:rsidTr="00936378">
        <w:trPr>
          <w:trHeight w:val="254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D25C7EF" w14:textId="24C8EEBE" w:rsidR="0076443F" w:rsidRPr="009B2C88" w:rsidRDefault="0076443F" w:rsidP="00936378">
            <w:pPr>
              <w:tabs>
                <w:tab w:val="left" w:pos="0"/>
                <w:tab w:val="left" w:pos="5446"/>
              </w:tabs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Max </w:t>
            </w:r>
            <w:r w:rsid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  <w:r w:rsidRPr="009B2C8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 punkti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D73FBD0" w14:textId="5BF4ADA0" w:rsidR="0076443F" w:rsidRPr="003A5E73" w:rsidRDefault="003A5E73" w:rsidP="003A5E73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– 7 </w:t>
            </w:r>
            <w:r w:rsidR="0076443F"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59001D3" w14:textId="5509BE5A" w:rsidR="0076443F" w:rsidRPr="003A5E73" w:rsidRDefault="003A5E73" w:rsidP="003A5E73">
            <w:pPr>
              <w:tabs>
                <w:tab w:val="left" w:pos="0"/>
                <w:tab w:val="left" w:pos="5446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6 </w:t>
            </w:r>
            <w:r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- 4 </w:t>
            </w:r>
            <w:r w:rsidR="0076443F" w:rsidRPr="003A5E7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0A2DC62" w14:textId="5982E7E3" w:rsidR="0076443F" w:rsidRPr="003A5E73" w:rsidRDefault="003A5E73" w:rsidP="003A5E73">
            <w:pPr>
              <w:tabs>
                <w:tab w:val="left" w:pos="0"/>
                <w:tab w:val="left" w:pos="5446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 xml:space="preserve">3 - 0 </w:t>
            </w:r>
            <w:r w:rsidR="0076443F" w:rsidRPr="003A5E73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punkti</w:t>
            </w:r>
          </w:p>
        </w:tc>
      </w:tr>
    </w:tbl>
    <w:p w14:paraId="75A25609" w14:textId="77777777" w:rsidR="0076443F" w:rsidRDefault="0076443F" w:rsidP="00764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B888F" w14:textId="69114B35" w:rsidR="00B20461" w:rsidRDefault="0076443F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B9394C">
        <w:rPr>
          <w:rFonts w:ascii="Times New Roman" w:hAnsi="Times New Roman" w:cs="Times New Roman"/>
        </w:rPr>
        <w:t>Hankija moodustab pakkumuste hindamiseks hindamiskomisjoni, kuhu kuulub vähemalt kolm liiget. Hindamiskomisjonil on vajadusel õigus kaasata komisjoni töösse sõltumatuid eksperte. Hin</w:t>
      </w:r>
      <w:r>
        <w:rPr>
          <w:rFonts w:ascii="Times New Roman" w:hAnsi="Times New Roman" w:cs="Times New Roman"/>
        </w:rPr>
        <w:t>damiskomisjoni liikmed hindavad tellitava teenuse ideelahendust</w:t>
      </w:r>
      <w:r w:rsidRPr="00B9394C">
        <w:rPr>
          <w:rFonts w:ascii="Times New Roman" w:hAnsi="Times New Roman" w:cs="Times New Roman"/>
        </w:rPr>
        <w:t xml:space="preserve"> kollektiivselt lähtuvalt toodud hindamiskriteeriumitest. </w:t>
      </w:r>
    </w:p>
    <w:p w14:paraId="6E42C85D" w14:textId="77777777" w:rsidR="00B20461" w:rsidRDefault="00B20461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130D7FB7" w14:textId="5A72A006" w:rsidR="0076443F" w:rsidRDefault="0076443F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B9394C">
        <w:rPr>
          <w:rFonts w:ascii="Times New Roman" w:hAnsi="Times New Roman" w:cs="Times New Roman"/>
        </w:rPr>
        <w:t>Saadud väärtuspunktid summeeritakse iga pakkuja kohta eraldi, millele liidetakse pakkumuse maksumuse eest omistatud väärtuspunktid. Edukaks pakkumus</w:t>
      </w:r>
      <w:r>
        <w:rPr>
          <w:rFonts w:ascii="Times New Roman" w:hAnsi="Times New Roman" w:cs="Times New Roman"/>
        </w:rPr>
        <w:t>eks tunnistatakse tellitava teenuse ideelahenduse</w:t>
      </w:r>
      <w:r w:rsidRPr="00B9394C">
        <w:rPr>
          <w:rFonts w:ascii="Times New Roman" w:hAnsi="Times New Roman" w:cs="Times New Roman"/>
        </w:rPr>
        <w:t xml:space="preserve"> ja pakkumuse maksumuse eest summeerituna kõige rohkem väärtuspunkte saanud pakkumus.</w:t>
      </w:r>
    </w:p>
    <w:p w14:paraId="07E94090" w14:textId="77777777" w:rsidR="00E425AA" w:rsidRPr="00B9394C" w:rsidRDefault="00E425AA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</w:p>
    <w:p w14:paraId="1A5E86D1" w14:textId="2D1AE023" w:rsidR="0076443F" w:rsidRDefault="0076443F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70AD47" w:themeColor="accent6"/>
        </w:rPr>
      </w:pPr>
      <w:r w:rsidRPr="00E037BA">
        <w:rPr>
          <w:rFonts w:ascii="Times New Roman" w:hAnsi="Times New Roman" w:cs="Times New Roman"/>
          <w:color w:val="auto"/>
        </w:rPr>
        <w:t xml:space="preserve">Juhul, kui pakkumiste väärtuspunktid on võrdsed, valib hankija pakkumuse, </w:t>
      </w:r>
      <w:r w:rsidR="004B3B7C">
        <w:rPr>
          <w:rFonts w:ascii="Times New Roman" w:hAnsi="Times New Roman" w:cs="Times New Roman"/>
          <w:color w:val="auto"/>
        </w:rPr>
        <w:t>mis</w:t>
      </w:r>
      <w:r w:rsidRPr="00E037BA">
        <w:rPr>
          <w:rFonts w:ascii="Times New Roman" w:hAnsi="Times New Roman" w:cs="Times New Roman"/>
          <w:color w:val="auto"/>
        </w:rPr>
        <w:t xml:space="preserve"> on </w:t>
      </w:r>
      <w:r>
        <w:rPr>
          <w:rFonts w:ascii="Times New Roman" w:hAnsi="Times New Roman" w:cs="Times New Roman"/>
          <w:color w:val="auto"/>
        </w:rPr>
        <w:t>pakkumuse maksumuse eest</w:t>
      </w:r>
      <w:r w:rsidRPr="00E037BA">
        <w:rPr>
          <w:rFonts w:ascii="Times New Roman" w:hAnsi="Times New Roman" w:cs="Times New Roman"/>
          <w:color w:val="auto"/>
        </w:rPr>
        <w:t xml:space="preserve"> saanud rohkem väärt</w:t>
      </w:r>
      <w:r>
        <w:rPr>
          <w:rFonts w:ascii="Times New Roman" w:hAnsi="Times New Roman" w:cs="Times New Roman"/>
          <w:color w:val="auto"/>
        </w:rPr>
        <w:t>uspunkte</w:t>
      </w:r>
      <w:r w:rsidRPr="00E037BA">
        <w:rPr>
          <w:rFonts w:ascii="Times New Roman" w:hAnsi="Times New Roman" w:cs="Times New Roman"/>
          <w:color w:val="auto"/>
        </w:rPr>
        <w:t>.</w:t>
      </w:r>
      <w:r w:rsidR="00AA5171">
        <w:rPr>
          <w:rFonts w:ascii="Times New Roman" w:hAnsi="Times New Roman" w:cs="Times New Roman"/>
          <w:color w:val="auto"/>
        </w:rPr>
        <w:t xml:space="preserve"> </w:t>
      </w:r>
    </w:p>
    <w:p w14:paraId="3766C3BD" w14:textId="77777777" w:rsidR="00E425AA" w:rsidRDefault="00E425AA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</w:p>
    <w:p w14:paraId="7C6FEBE5" w14:textId="4506FB02" w:rsidR="0076443F" w:rsidRPr="00E96158" w:rsidRDefault="0076443F" w:rsidP="00E425AA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96158">
        <w:rPr>
          <w:rFonts w:ascii="Times New Roman" w:hAnsi="Times New Roman" w:cs="Times New Roman"/>
        </w:rPr>
        <w:t>Hankija sõlmib hankelepingu pakkujaga, kes on  tingimuste kohaselt esitanud majanduslikult soodsaima pakkumuse (s.o on kogunud hindamise tulemusel suurima arvu väärtuspunkte).</w:t>
      </w:r>
    </w:p>
    <w:p w14:paraId="6CB99FE8" w14:textId="77777777" w:rsidR="0076443F" w:rsidRDefault="0076443F" w:rsidP="0076443F">
      <w:pPr>
        <w:pStyle w:val="Default"/>
        <w:tabs>
          <w:tab w:val="left" w:pos="993"/>
        </w:tabs>
        <w:jc w:val="both"/>
        <w:rPr>
          <w:color w:val="auto"/>
        </w:rPr>
      </w:pPr>
    </w:p>
    <w:p w14:paraId="283880E4" w14:textId="77777777" w:rsidR="0076443F" w:rsidRPr="00A628E3" w:rsidRDefault="0076443F" w:rsidP="00D4718D">
      <w:pPr>
        <w:rPr>
          <w:rFonts w:ascii="Times New Roman" w:hAnsi="Times New Roman" w:cs="Times New Roman"/>
          <w:sz w:val="24"/>
          <w:szCs w:val="24"/>
        </w:rPr>
      </w:pPr>
    </w:p>
    <w:sectPr w:rsidR="0076443F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FB4F" w14:textId="77777777" w:rsidR="00BD257A" w:rsidRDefault="00BD257A" w:rsidP="00A33A31">
      <w:r>
        <w:separator/>
      </w:r>
    </w:p>
  </w:endnote>
  <w:endnote w:type="continuationSeparator" w:id="0">
    <w:p w14:paraId="5A889CD7" w14:textId="77777777" w:rsidR="00BD257A" w:rsidRDefault="00BD257A" w:rsidP="00A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97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41484" w14:textId="77777777" w:rsidR="00A33A31" w:rsidRDefault="00A3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3EDBC" w14:textId="77777777" w:rsidR="00A33A31" w:rsidRDefault="00A33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7AB4" w14:textId="77777777" w:rsidR="00BD257A" w:rsidRDefault="00BD257A" w:rsidP="00A33A31">
      <w:r>
        <w:separator/>
      </w:r>
    </w:p>
  </w:footnote>
  <w:footnote w:type="continuationSeparator" w:id="0">
    <w:p w14:paraId="783B2EFC" w14:textId="77777777" w:rsidR="00BD257A" w:rsidRDefault="00BD257A" w:rsidP="00A3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860F" w14:textId="77777777" w:rsidR="009A30E0" w:rsidRDefault="009A30E0">
    <w:pPr>
      <w:pStyle w:val="Header"/>
      <w:rPr>
        <w:rFonts w:ascii="Times New Roman" w:hAnsi="Times New Roman" w:cs="Times New Roman"/>
        <w:i/>
        <w:sz w:val="20"/>
        <w:szCs w:val="20"/>
      </w:rPr>
    </w:pPr>
  </w:p>
  <w:p w14:paraId="349CCDC5" w14:textId="77777777" w:rsidR="00494A55" w:rsidRDefault="00494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34E"/>
    <w:multiLevelType w:val="hybridMultilevel"/>
    <w:tmpl w:val="0EC611E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0C43"/>
    <w:multiLevelType w:val="hybridMultilevel"/>
    <w:tmpl w:val="0F129FFE"/>
    <w:lvl w:ilvl="0" w:tplc="838AAD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67DE"/>
    <w:multiLevelType w:val="multilevel"/>
    <w:tmpl w:val="59E07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1F900D3F"/>
    <w:multiLevelType w:val="hybridMultilevel"/>
    <w:tmpl w:val="68EA640A"/>
    <w:lvl w:ilvl="0" w:tplc="EFC056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70389"/>
    <w:multiLevelType w:val="hybridMultilevel"/>
    <w:tmpl w:val="0F129FFE"/>
    <w:lvl w:ilvl="0" w:tplc="838AAD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080A"/>
    <w:multiLevelType w:val="hybridMultilevel"/>
    <w:tmpl w:val="F39E90C0"/>
    <w:lvl w:ilvl="0" w:tplc="78920D3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7F03"/>
    <w:multiLevelType w:val="hybridMultilevel"/>
    <w:tmpl w:val="FA24E2AA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5811"/>
    <w:multiLevelType w:val="hybridMultilevel"/>
    <w:tmpl w:val="B770CC52"/>
    <w:lvl w:ilvl="0" w:tplc="465828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1568A"/>
    <w:multiLevelType w:val="hybridMultilevel"/>
    <w:tmpl w:val="91CCE1A0"/>
    <w:lvl w:ilvl="0" w:tplc="3686173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86685">
    <w:abstractNumId w:val="6"/>
  </w:num>
  <w:num w:numId="2" w16cid:durableId="617446128">
    <w:abstractNumId w:val="0"/>
  </w:num>
  <w:num w:numId="3" w16cid:durableId="438839929">
    <w:abstractNumId w:val="2"/>
  </w:num>
  <w:num w:numId="4" w16cid:durableId="615408004">
    <w:abstractNumId w:val="1"/>
  </w:num>
  <w:num w:numId="5" w16cid:durableId="496112833">
    <w:abstractNumId w:val="4"/>
  </w:num>
  <w:num w:numId="6" w16cid:durableId="1902980968">
    <w:abstractNumId w:val="8"/>
  </w:num>
  <w:num w:numId="7" w16cid:durableId="1244342998">
    <w:abstractNumId w:val="3"/>
  </w:num>
  <w:num w:numId="8" w16cid:durableId="2099135443">
    <w:abstractNumId w:val="7"/>
  </w:num>
  <w:num w:numId="9" w16cid:durableId="203099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C"/>
    <w:rsid w:val="000546FD"/>
    <w:rsid w:val="00235E1F"/>
    <w:rsid w:val="002851DA"/>
    <w:rsid w:val="0029199A"/>
    <w:rsid w:val="00383D4A"/>
    <w:rsid w:val="003A5E73"/>
    <w:rsid w:val="00423C07"/>
    <w:rsid w:val="00470153"/>
    <w:rsid w:val="00494A55"/>
    <w:rsid w:val="004B3B7C"/>
    <w:rsid w:val="004D12F8"/>
    <w:rsid w:val="004F18FC"/>
    <w:rsid w:val="00622403"/>
    <w:rsid w:val="006A501A"/>
    <w:rsid w:val="0076443F"/>
    <w:rsid w:val="007B782A"/>
    <w:rsid w:val="0080788C"/>
    <w:rsid w:val="00854A96"/>
    <w:rsid w:val="008C5528"/>
    <w:rsid w:val="009A30E0"/>
    <w:rsid w:val="009E60CE"/>
    <w:rsid w:val="00A33A31"/>
    <w:rsid w:val="00A628E3"/>
    <w:rsid w:val="00AA5171"/>
    <w:rsid w:val="00AD0E41"/>
    <w:rsid w:val="00B20461"/>
    <w:rsid w:val="00B84E10"/>
    <w:rsid w:val="00BD257A"/>
    <w:rsid w:val="00BE216F"/>
    <w:rsid w:val="00C370BC"/>
    <w:rsid w:val="00C85E7E"/>
    <w:rsid w:val="00D4718D"/>
    <w:rsid w:val="00D616C5"/>
    <w:rsid w:val="00E425AA"/>
    <w:rsid w:val="00EA15A4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3A369"/>
  <w15:chartTrackingRefBased/>
  <w15:docId w15:val="{2CC8983A-CEAD-4CBC-A85D-C8B114A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43F"/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76443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644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76443F"/>
  </w:style>
  <w:style w:type="paragraph" w:styleId="Header">
    <w:name w:val="header"/>
    <w:basedOn w:val="Normal"/>
    <w:link w:val="HeaderChar"/>
    <w:uiPriority w:val="99"/>
    <w:unhideWhenUsed/>
    <w:rsid w:val="00A33A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31"/>
  </w:style>
  <w:style w:type="paragraph" w:styleId="Footer">
    <w:name w:val="footer"/>
    <w:basedOn w:val="Normal"/>
    <w:link w:val="FooterChar"/>
    <w:uiPriority w:val="99"/>
    <w:unhideWhenUsed/>
    <w:rsid w:val="00A33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31"/>
  </w:style>
  <w:style w:type="character" w:styleId="CommentReference">
    <w:name w:val="annotation reference"/>
    <w:basedOn w:val="DefaultParagraphFont"/>
    <w:uiPriority w:val="99"/>
    <w:semiHidden/>
    <w:unhideWhenUsed/>
    <w:rsid w:val="009E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0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A42F-2147-4841-8916-82A74E79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Leimberg-Pallo</dc:creator>
  <cp:keywords/>
  <dc:description/>
  <cp:lastModifiedBy>Karmen Muinasmaa</cp:lastModifiedBy>
  <cp:revision>3</cp:revision>
  <dcterms:created xsi:type="dcterms:W3CDTF">2025-12-22T14:10:00Z</dcterms:created>
  <dcterms:modified xsi:type="dcterms:W3CDTF">2025-12-22T14:14:00Z</dcterms:modified>
</cp:coreProperties>
</file>